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6E31" w14:textId="77777777" w:rsidR="005E3092" w:rsidRDefault="005E3092" w:rsidP="005E3092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</w:p>
    <w:p w14:paraId="17AA289E" w14:textId="77777777" w:rsidR="005E3092" w:rsidRDefault="005E3092" w:rsidP="005E3092">
      <w:pPr>
        <w:snapToGrid w:val="0"/>
        <w:spacing w:line="360" w:lineRule="auto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中文论文格式模板</w:t>
      </w:r>
    </w:p>
    <w:p w14:paraId="75E4EE91" w14:textId="77777777" w:rsidR="005E3092" w:rsidRDefault="005E3092" w:rsidP="005E3092">
      <w:pPr>
        <w:jc w:val="center"/>
        <w:rPr>
          <w:rFonts w:ascii="宋体" w:hAnsi="宋体" w:cs="宋体"/>
          <w:sz w:val="24"/>
          <w:szCs w:val="24"/>
        </w:rPr>
      </w:pPr>
    </w:p>
    <w:p w14:paraId="6AA12137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文章标题：</w:t>
      </w:r>
      <w:r>
        <w:rPr>
          <w:rFonts w:ascii="Times New Roman" w:eastAsia="方正仿宋_GBK" w:hAnsi="Times New Roman" w:cs="黑体" w:hint="eastAsia"/>
          <w:sz w:val="24"/>
        </w:rPr>
        <w:t>某省氢能产业发展现状及建议分析研究</w:t>
      </w:r>
    </w:p>
    <w:p w14:paraId="42843497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  <w:vertAlign w:val="superscript"/>
        </w:rPr>
      </w:pPr>
      <w:r>
        <w:rPr>
          <w:rFonts w:ascii="Times New Roman" w:eastAsia="方正仿宋_GBK" w:hAnsi="Times New Roman" w:cs="黑体" w:hint="eastAsia"/>
          <w:sz w:val="24"/>
        </w:rPr>
        <w:t>作者</w:t>
      </w:r>
      <w:r>
        <w:rPr>
          <w:rFonts w:ascii="Times New Roman" w:eastAsia="方正仿宋_GBK" w:hAnsi="Times New Roman" w:cs="黑体" w:hint="eastAsia"/>
          <w:sz w:val="24"/>
          <w:vertAlign w:val="superscript"/>
        </w:rPr>
        <w:t>1</w:t>
      </w:r>
      <w:r>
        <w:rPr>
          <w:rFonts w:ascii="Times New Roman" w:eastAsia="方正仿宋_GBK" w:hAnsi="Times New Roman" w:cs="黑体" w:hint="eastAsia"/>
          <w:sz w:val="24"/>
        </w:rPr>
        <w:t>，作者</w:t>
      </w:r>
      <w:r>
        <w:rPr>
          <w:rFonts w:ascii="Times New Roman" w:eastAsia="方正仿宋_GBK" w:hAnsi="Times New Roman" w:cs="黑体" w:hint="eastAsia"/>
          <w:sz w:val="24"/>
          <w:vertAlign w:val="superscript"/>
        </w:rPr>
        <w:t>2</w:t>
      </w:r>
    </w:p>
    <w:p w14:paraId="64E25720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sz w:val="24"/>
        </w:rPr>
        <w:t>（</w:t>
      </w:r>
      <w:r>
        <w:rPr>
          <w:rFonts w:ascii="Times New Roman" w:eastAsia="方正仿宋_GBK" w:hAnsi="Times New Roman" w:cs="黑体" w:hint="eastAsia"/>
          <w:sz w:val="24"/>
        </w:rPr>
        <w:t>1.</w:t>
      </w:r>
      <w:r>
        <w:rPr>
          <w:rFonts w:ascii="Times New Roman" w:eastAsia="方正仿宋_GBK" w:hAnsi="Times New Roman" w:cs="黑体" w:hint="eastAsia"/>
          <w:sz w:val="24"/>
        </w:rPr>
        <w:t>单位名称，省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市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邮编；</w:t>
      </w:r>
      <w:r>
        <w:rPr>
          <w:rFonts w:ascii="Times New Roman" w:eastAsia="方正仿宋_GBK" w:hAnsi="Times New Roman" w:cs="黑体" w:hint="eastAsia"/>
          <w:sz w:val="24"/>
        </w:rPr>
        <w:t>2.</w:t>
      </w:r>
      <w:r>
        <w:rPr>
          <w:rFonts w:ascii="Times New Roman" w:eastAsia="方正仿宋_GBK" w:hAnsi="Times New Roman" w:cs="黑体" w:hint="eastAsia"/>
          <w:sz w:val="24"/>
        </w:rPr>
        <w:t>单位名称，省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市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邮编）</w:t>
      </w:r>
    </w:p>
    <w:p w14:paraId="5A355166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摘</w:t>
      </w:r>
      <w:r>
        <w:rPr>
          <w:rFonts w:ascii="Times New Roman" w:eastAsia="方正仿宋_GBK" w:hAnsi="Times New Roman" w:cs="黑体" w:hint="eastAsia"/>
          <w:b/>
          <w:bCs/>
          <w:sz w:val="24"/>
        </w:rPr>
        <w:t xml:space="preserve">  </w:t>
      </w:r>
      <w:r>
        <w:rPr>
          <w:rFonts w:ascii="Times New Roman" w:eastAsia="方正仿宋_GBK" w:hAnsi="Times New Roman" w:cs="黑体" w:hint="eastAsia"/>
          <w:b/>
          <w:bCs/>
          <w:sz w:val="24"/>
        </w:rPr>
        <w:t>要：</w:t>
      </w:r>
      <w:r>
        <w:rPr>
          <w:rFonts w:ascii="Times New Roman" w:eastAsia="方正仿宋_GBK" w:hAnsi="Times New Roman" w:cs="黑体" w:hint="eastAsia"/>
          <w:sz w:val="24"/>
        </w:rPr>
        <w:t xml:space="preserve">250-350 </w:t>
      </w:r>
      <w:r>
        <w:rPr>
          <w:rFonts w:ascii="Times New Roman" w:eastAsia="方正仿宋_GBK" w:hAnsi="Times New Roman" w:cs="黑体" w:hint="eastAsia"/>
          <w:sz w:val="24"/>
        </w:rPr>
        <w:t>字摘要</w:t>
      </w:r>
    </w:p>
    <w:p w14:paraId="4A8089AD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氢能兼具工业原料和绿色能源双重属性，具备清洁低碳高效、应用领域广泛、可长期存储等优点，是助力能源深度转型和产业绿色低碳发展的重要支撑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。</w:t>
      </w:r>
    </w:p>
    <w:p w14:paraId="402E8099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关键词</w:t>
      </w:r>
      <w:r>
        <w:rPr>
          <w:rFonts w:ascii="Times New Roman" w:eastAsia="方正仿宋_GBK" w:hAnsi="Times New Roman" w:cs="黑体" w:hint="eastAsia"/>
          <w:b/>
          <w:bCs/>
          <w:sz w:val="24"/>
        </w:rPr>
        <w:t>:</w:t>
      </w:r>
      <w:r>
        <w:rPr>
          <w:rFonts w:ascii="Times New Roman" w:eastAsia="方正仿宋_GBK" w:hAnsi="Times New Roman" w:cs="黑体" w:hint="eastAsia"/>
          <w:sz w:val="24"/>
        </w:rPr>
        <w:t>3-5</w:t>
      </w:r>
      <w:r>
        <w:rPr>
          <w:rFonts w:ascii="Times New Roman" w:eastAsia="方正仿宋_GBK" w:hAnsi="Times New Roman" w:cs="黑体" w:hint="eastAsia"/>
          <w:sz w:val="24"/>
        </w:rPr>
        <w:t>个关键词</w:t>
      </w:r>
    </w:p>
    <w:p w14:paraId="530843C0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氢能；江苏；发展现状</w:t>
      </w:r>
    </w:p>
    <w:p w14:paraId="7F1BF23D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</w:p>
    <w:p w14:paraId="6E291807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文章标题：</w:t>
      </w:r>
      <w:r>
        <w:rPr>
          <w:rFonts w:ascii="Times New Roman" w:eastAsia="方正小标宋_GBK" w:hAnsi="Times New Roman" w:cs="Times New Roman" w:hint="eastAsia"/>
          <w:bCs/>
          <w:sz w:val="24"/>
          <w:szCs w:val="24"/>
        </w:rPr>
        <w:t>R</w:t>
      </w:r>
      <w:r>
        <w:rPr>
          <w:rFonts w:ascii="Times New Roman" w:eastAsia="方正小标宋_GBK" w:hAnsi="Times New Roman" w:cs="Times New Roman"/>
          <w:bCs/>
          <w:sz w:val="24"/>
          <w:szCs w:val="24"/>
        </w:rPr>
        <w:t xml:space="preserve">esearch </w:t>
      </w:r>
      <w:r>
        <w:rPr>
          <w:rFonts w:ascii="Times New Roman" w:eastAsia="方正小标宋_GBK" w:hAnsi="Times New Roman" w:cs="Times New Roman" w:hint="eastAsia"/>
          <w:bCs/>
          <w:sz w:val="24"/>
          <w:szCs w:val="24"/>
        </w:rPr>
        <w:t>and analysis on</w:t>
      </w:r>
      <w:r>
        <w:rPr>
          <w:rFonts w:ascii="Times New Roman" w:eastAsia="方正小标宋_GBK" w:hAnsi="Times New Roman" w:cs="Times New Roman"/>
          <w:bCs/>
          <w:sz w:val="24"/>
          <w:szCs w:val="24"/>
        </w:rPr>
        <w:t xml:space="preserve"> current hydrogen energy industry development situation and suggestion</w:t>
      </w:r>
      <w:r>
        <w:rPr>
          <w:rFonts w:ascii="Times New Roman" w:eastAsia="方正小标宋_GBK" w:hAnsi="Times New Roman" w:cs="Times New Roman" w:hint="eastAsia"/>
          <w:bCs/>
          <w:sz w:val="24"/>
          <w:szCs w:val="24"/>
        </w:rPr>
        <w:t>s</w:t>
      </w:r>
      <w:r>
        <w:rPr>
          <w:rFonts w:ascii="Times New Roman" w:eastAsia="方正小标宋_GBK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eastAsia="方正小标宋_GBK" w:hAnsi="Times New Roman" w:cs="Times New Roman" w:hint="eastAsia"/>
          <w:bCs/>
          <w:sz w:val="24"/>
          <w:szCs w:val="24"/>
        </w:rPr>
        <w:t>X</w:t>
      </w:r>
      <w:r>
        <w:rPr>
          <w:rFonts w:ascii="Times New Roman" w:eastAsia="方正小标宋_GBK" w:hAnsi="Times New Roman" w:cs="Times New Roman"/>
          <w:bCs/>
          <w:sz w:val="24"/>
          <w:szCs w:val="24"/>
        </w:rPr>
        <w:t xml:space="preserve"> Province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（英译）</w:t>
      </w:r>
    </w:p>
    <w:p w14:paraId="398BA6C6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sz w:val="24"/>
        </w:rPr>
        <w:t>作者</w:t>
      </w:r>
      <w:r>
        <w:rPr>
          <w:rFonts w:ascii="Times New Roman" w:eastAsia="方正仿宋_GBK" w:hAnsi="Times New Roman" w:cs="黑体" w:hint="eastAsia"/>
          <w:sz w:val="24"/>
          <w:vertAlign w:val="superscript"/>
        </w:rPr>
        <w:t>1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（英译）</w:t>
      </w:r>
      <w:r>
        <w:rPr>
          <w:rFonts w:ascii="Times New Roman" w:eastAsia="方正仿宋_GBK" w:hAnsi="Times New Roman" w:cs="黑体" w:hint="eastAsia"/>
          <w:sz w:val="24"/>
        </w:rPr>
        <w:t>，作者</w:t>
      </w:r>
      <w:r>
        <w:rPr>
          <w:rFonts w:ascii="Times New Roman" w:eastAsia="方正仿宋_GBK" w:hAnsi="Times New Roman" w:cs="黑体" w:hint="eastAsia"/>
          <w:sz w:val="24"/>
          <w:vertAlign w:val="superscript"/>
        </w:rPr>
        <w:t>2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（英译）</w:t>
      </w:r>
    </w:p>
    <w:p w14:paraId="3D89D8DD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sz w:val="24"/>
        </w:rPr>
        <w:t>（</w:t>
      </w:r>
      <w:r>
        <w:rPr>
          <w:rFonts w:ascii="Times New Roman" w:eastAsia="方正仿宋_GBK" w:hAnsi="Times New Roman" w:cs="黑体" w:hint="eastAsia"/>
          <w:sz w:val="24"/>
        </w:rPr>
        <w:t>1.</w:t>
      </w:r>
      <w:r>
        <w:rPr>
          <w:rFonts w:ascii="Times New Roman" w:eastAsia="方正仿宋_GBK" w:hAnsi="Times New Roman" w:cs="黑体" w:hint="eastAsia"/>
          <w:sz w:val="24"/>
        </w:rPr>
        <w:t>单位名称，省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市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邮编；</w:t>
      </w:r>
      <w:r>
        <w:rPr>
          <w:rFonts w:ascii="Times New Roman" w:eastAsia="方正仿宋_GBK" w:hAnsi="Times New Roman" w:cs="黑体" w:hint="eastAsia"/>
          <w:sz w:val="24"/>
        </w:rPr>
        <w:t>2.</w:t>
      </w:r>
      <w:r>
        <w:rPr>
          <w:rFonts w:ascii="Times New Roman" w:eastAsia="方正仿宋_GBK" w:hAnsi="Times New Roman" w:cs="黑体" w:hint="eastAsia"/>
          <w:sz w:val="24"/>
        </w:rPr>
        <w:t>单位名称，省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市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邮编）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（英译）</w:t>
      </w:r>
    </w:p>
    <w:p w14:paraId="6C517571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摘</w:t>
      </w:r>
      <w:r>
        <w:rPr>
          <w:rFonts w:ascii="Times New Roman" w:eastAsia="方正仿宋_GBK" w:hAnsi="Times New Roman" w:cs="黑体" w:hint="eastAsia"/>
          <w:b/>
          <w:bCs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b/>
          <w:bCs/>
          <w:sz w:val="24"/>
        </w:rPr>
        <w:t>要：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 xml:space="preserve">250-350 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字摘要（英译）</w:t>
      </w:r>
    </w:p>
    <w:p w14:paraId="0C13641E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Hydrogen energy has the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 dual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 xml:space="preserve"> attributes of industrial materials and green </w:t>
      </w:r>
      <w:proofErr w:type="gramStart"/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 xml:space="preserve">energy, 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 with</w:t>
      </w:r>
      <w:proofErr w:type="gramEnd"/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 advantages such as clean, low-carbon, efficient, wide application fields, and long-term storage. It is an important support for promoting deep energy transformation and green and low-carbon development of industries. </w:t>
      </w:r>
    </w:p>
    <w:p w14:paraId="5EF4944F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关键词</w:t>
      </w:r>
      <w:r>
        <w:rPr>
          <w:rFonts w:ascii="Times New Roman" w:eastAsia="方正仿宋_GBK" w:hAnsi="Times New Roman" w:cs="黑体" w:hint="eastAsia"/>
          <w:b/>
          <w:bCs/>
          <w:sz w:val="24"/>
        </w:rPr>
        <w:t>: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3-5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个关键词（英译）</w:t>
      </w:r>
    </w:p>
    <w:p w14:paraId="67EA8A7D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hydrogen energy;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方正仿宋_GBK" w:hAnsi="Times New Roman" w:cs="Times New Roman"/>
          <w:sz w:val="24"/>
          <w:szCs w:val="24"/>
        </w:rPr>
        <w:t>Jiangsu; development status</w:t>
      </w:r>
    </w:p>
    <w:p w14:paraId="2BCFDDEA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b/>
          <w:bCs/>
          <w:sz w:val="24"/>
        </w:rPr>
      </w:pPr>
    </w:p>
    <w:p w14:paraId="60812130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中图分类号：</w:t>
      </w:r>
      <w:r>
        <w:rPr>
          <w:rFonts w:ascii="Times New Roman" w:eastAsia="方正仿宋_GBK" w:hAnsi="Times New Roman" w:cs="黑体" w:hint="eastAsia"/>
          <w:sz w:val="24"/>
        </w:rPr>
        <w:t>G285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（请参照《中国图书馆分类法》）</w:t>
      </w:r>
    </w:p>
    <w:p w14:paraId="54E31DB4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作者简介：</w:t>
      </w:r>
      <w:r>
        <w:rPr>
          <w:rFonts w:ascii="Times New Roman" w:eastAsia="方正仿宋_GBK" w:hAnsi="Times New Roman" w:cs="黑体" w:hint="eastAsia"/>
          <w:sz w:val="24"/>
        </w:rPr>
        <w:t>姓名、出生年、性别、职称、学位、研究方向、电子邮箱。</w:t>
      </w:r>
    </w:p>
    <w:p w14:paraId="27F7787B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基金项目：</w:t>
      </w:r>
      <w:r>
        <w:rPr>
          <w:rFonts w:ascii="Times New Roman" w:eastAsia="方正仿宋_GBK" w:hAnsi="Times New Roman" w:cs="黑体" w:hint="eastAsia"/>
          <w:sz w:val="24"/>
        </w:rPr>
        <w:t>XXXX</w:t>
      </w:r>
      <w:r>
        <w:rPr>
          <w:rFonts w:ascii="Times New Roman" w:eastAsia="方正仿宋_GBK" w:hAnsi="Times New Roman" w:cs="黑体" w:hint="eastAsia"/>
          <w:sz w:val="24"/>
        </w:rPr>
        <w:t>科学基金（</w:t>
      </w:r>
      <w:r>
        <w:rPr>
          <w:rFonts w:ascii="Times New Roman" w:eastAsia="方正仿宋_GBK" w:hAnsi="Times New Roman" w:cs="黑体" w:hint="eastAsia"/>
          <w:sz w:val="24"/>
        </w:rPr>
        <w:t>123456</w:t>
      </w:r>
      <w:r>
        <w:rPr>
          <w:rFonts w:ascii="Times New Roman" w:eastAsia="方正仿宋_GBK" w:hAnsi="Times New Roman" w:cs="黑体" w:hint="eastAsia"/>
          <w:sz w:val="24"/>
        </w:rPr>
        <w:t>）。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基金项目（项目编号）</w:t>
      </w:r>
    </w:p>
    <w:p w14:paraId="5BD5C459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</w:p>
    <w:p w14:paraId="32DA76FB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论文主体</w:t>
      </w:r>
    </w:p>
    <w:p w14:paraId="02133D33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0</w:t>
      </w: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引言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（一级标题）</w:t>
      </w:r>
    </w:p>
    <w:p w14:paraId="371F81FA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氢能产业链条较长，涉及氢气制取、储存、运输、加注、燃料电池制造及应用、运营服务以及相关装备、研发检测等环节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。</w:t>
      </w:r>
    </w:p>
    <w:p w14:paraId="4ECA335B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1</w:t>
      </w: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江苏省氢能产业发展现状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（一级标题）</w:t>
      </w:r>
    </w:p>
    <w:p w14:paraId="3E210B3E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在国家及各地方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政府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积极布局氢能产业背景下，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某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省氢能及燃料电池汽车产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lastRenderedPageBreak/>
        <w:t>业发展已经形成了一定规模，氢能产业链条基本完整，并在产业</w:t>
      </w:r>
      <w:proofErr w:type="gramStart"/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链部分</w:t>
      </w:r>
      <w:proofErr w:type="gramEnd"/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领域涌现出一批头部企业，推广应用规模</w:t>
      </w:r>
      <w:proofErr w:type="gramStart"/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及领域</w:t>
      </w:r>
      <w:proofErr w:type="gramEnd"/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不断扩大，技术和产业化能力具备一定领先优势。</w:t>
      </w:r>
    </w:p>
    <w:p w14:paraId="14B9138E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sz w:val="24"/>
        </w:rPr>
        <w:t>1.1</w:t>
      </w: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产业支持政策配套较为完善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（二级标题）</w:t>
      </w:r>
    </w:p>
    <w:p w14:paraId="1B2FF3BF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某省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是国内较早开始布局氢能及燃料电池汽车产业的地区之一，各有关部门以氢能技术攻关为重点支持产业快速发展，并将氢能和燃料电池汽车两条产业链纳入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“1650”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现代产业体系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，某省及其各地氢能及燃料电池汽车发展相关政策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如表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1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所示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。</w:t>
      </w:r>
    </w:p>
    <w:p w14:paraId="19A6B2F7" w14:textId="77777777" w:rsidR="005E3092" w:rsidRDefault="005E3092" w:rsidP="005E3092">
      <w:pPr>
        <w:pStyle w:val="a3"/>
        <w:spacing w:beforeLines="50" w:before="156" w:afterLines="50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表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</w:instrText>
      </w:r>
      <w:r>
        <w:rPr>
          <w:rFonts w:ascii="Times New Roman" w:hAnsi="Times New Roman"/>
          <w:sz w:val="24"/>
          <w:szCs w:val="24"/>
        </w:rPr>
        <w:instrText>表</w:instrText>
      </w:r>
      <w:r>
        <w:rPr>
          <w:rFonts w:ascii="Times New Roman" w:hAnsi="Times New Roman"/>
          <w:sz w:val="24"/>
          <w:szCs w:val="24"/>
        </w:rPr>
        <w:instrText xml:space="preserve">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某</w:t>
      </w:r>
      <w:r>
        <w:rPr>
          <w:rFonts w:ascii="Times New Roman" w:hAnsi="Times New Roman"/>
          <w:sz w:val="24"/>
          <w:szCs w:val="24"/>
        </w:rPr>
        <w:t>省及</w:t>
      </w:r>
      <w:r>
        <w:rPr>
          <w:rFonts w:ascii="Times New Roman" w:hAnsi="Times New Roman" w:hint="eastAsia"/>
          <w:sz w:val="24"/>
          <w:szCs w:val="24"/>
        </w:rPr>
        <w:t>其</w:t>
      </w:r>
      <w:r>
        <w:rPr>
          <w:rFonts w:ascii="Times New Roman" w:hAnsi="Times New Roman"/>
          <w:sz w:val="24"/>
          <w:szCs w:val="24"/>
        </w:rPr>
        <w:t>各地方氢能发展相关政策文件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977"/>
        <w:gridCol w:w="1518"/>
        <w:gridCol w:w="3712"/>
        <w:gridCol w:w="2046"/>
      </w:tblGrid>
      <w:tr w:rsidR="005E3092" w14:paraId="2619D250" w14:textId="77777777" w:rsidTr="00E6227A">
        <w:trPr>
          <w:trHeight w:val="193"/>
          <w:jc w:val="center"/>
        </w:trPr>
        <w:tc>
          <w:tcPr>
            <w:tcW w:w="658" w:type="dxa"/>
            <w:noWrap/>
            <w:vAlign w:val="center"/>
          </w:tcPr>
          <w:p w14:paraId="2B2C79A2" w14:textId="77777777" w:rsidR="005E3092" w:rsidRDefault="005E3092" w:rsidP="00E6227A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77" w:type="dxa"/>
            <w:noWrap/>
            <w:vAlign w:val="center"/>
          </w:tcPr>
          <w:p w14:paraId="644315C3" w14:textId="77777777" w:rsidR="005E3092" w:rsidRDefault="005E3092" w:rsidP="00E6227A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设区市</w:t>
            </w:r>
          </w:p>
        </w:tc>
        <w:tc>
          <w:tcPr>
            <w:tcW w:w="1518" w:type="dxa"/>
            <w:noWrap/>
            <w:vAlign w:val="center"/>
          </w:tcPr>
          <w:p w14:paraId="7CA6D8D7" w14:textId="77777777" w:rsidR="005E3092" w:rsidRDefault="005E3092" w:rsidP="00E6227A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印发时间</w:t>
            </w:r>
          </w:p>
        </w:tc>
        <w:tc>
          <w:tcPr>
            <w:tcW w:w="3712" w:type="dxa"/>
            <w:vAlign w:val="center"/>
          </w:tcPr>
          <w:p w14:paraId="27D9ABBD" w14:textId="77777777" w:rsidR="005E3092" w:rsidRDefault="005E3092" w:rsidP="00E6227A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政策名称</w:t>
            </w:r>
          </w:p>
        </w:tc>
        <w:tc>
          <w:tcPr>
            <w:tcW w:w="2046" w:type="dxa"/>
            <w:noWrap/>
            <w:vAlign w:val="center"/>
          </w:tcPr>
          <w:p w14:paraId="649E4068" w14:textId="77777777" w:rsidR="005E3092" w:rsidRDefault="005E3092" w:rsidP="00E6227A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印发单位</w:t>
            </w:r>
          </w:p>
        </w:tc>
      </w:tr>
      <w:tr w:rsidR="005E3092" w14:paraId="4F28E649" w14:textId="77777777" w:rsidTr="00E6227A">
        <w:trPr>
          <w:trHeight w:val="255"/>
          <w:jc w:val="center"/>
        </w:trPr>
        <w:tc>
          <w:tcPr>
            <w:tcW w:w="658" w:type="dxa"/>
            <w:noWrap/>
            <w:vAlign w:val="center"/>
          </w:tcPr>
          <w:p w14:paraId="47A61C8E" w14:textId="77777777" w:rsidR="005E3092" w:rsidRDefault="005E3092" w:rsidP="00E6227A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977" w:type="dxa"/>
            <w:vMerge w:val="restart"/>
            <w:vAlign w:val="center"/>
          </w:tcPr>
          <w:p w14:paraId="4AA25717" w14:textId="77777777" w:rsidR="005E3092" w:rsidRDefault="005E3092" w:rsidP="00E6227A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某省</w:t>
            </w:r>
          </w:p>
        </w:tc>
        <w:tc>
          <w:tcPr>
            <w:tcW w:w="1518" w:type="dxa"/>
            <w:noWrap/>
            <w:vAlign w:val="center"/>
          </w:tcPr>
          <w:p w14:paraId="50F3EF96" w14:textId="77777777" w:rsidR="005E3092" w:rsidRDefault="005E3092" w:rsidP="00E6227A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2023年11月</w:t>
            </w:r>
          </w:p>
        </w:tc>
        <w:tc>
          <w:tcPr>
            <w:tcW w:w="3712" w:type="dxa"/>
            <w:vAlign w:val="center"/>
          </w:tcPr>
          <w:p w14:paraId="393B2C5A" w14:textId="77777777" w:rsidR="005E3092" w:rsidRDefault="005E3092" w:rsidP="00E6227A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《关于加快培育发展未来产业的指导意见》</w:t>
            </w:r>
          </w:p>
        </w:tc>
        <w:tc>
          <w:tcPr>
            <w:tcW w:w="2046" w:type="dxa"/>
            <w:vAlign w:val="center"/>
          </w:tcPr>
          <w:p w14:paraId="2E2150E3" w14:textId="77777777" w:rsidR="005E3092" w:rsidRDefault="005E3092" w:rsidP="00E6227A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省政府</w:t>
            </w:r>
          </w:p>
        </w:tc>
      </w:tr>
      <w:tr w:rsidR="005E3092" w14:paraId="222A67A2" w14:textId="77777777" w:rsidTr="00E6227A">
        <w:trPr>
          <w:trHeight w:val="255"/>
          <w:jc w:val="center"/>
        </w:trPr>
        <w:tc>
          <w:tcPr>
            <w:tcW w:w="658" w:type="dxa"/>
            <w:noWrap/>
            <w:vAlign w:val="center"/>
          </w:tcPr>
          <w:p w14:paraId="6F1765D8" w14:textId="77777777" w:rsidR="005E3092" w:rsidRDefault="005E3092" w:rsidP="00E6227A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977" w:type="dxa"/>
            <w:vMerge/>
            <w:vAlign w:val="center"/>
          </w:tcPr>
          <w:p w14:paraId="6FAAFBD0" w14:textId="77777777" w:rsidR="005E3092" w:rsidRDefault="005E3092" w:rsidP="00E6227A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 w14:paraId="0D8B4D95" w14:textId="77777777" w:rsidR="005E3092" w:rsidRDefault="005E3092" w:rsidP="00E6227A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2019年8月</w:t>
            </w:r>
          </w:p>
        </w:tc>
        <w:tc>
          <w:tcPr>
            <w:tcW w:w="3712" w:type="dxa"/>
            <w:vAlign w:val="center"/>
          </w:tcPr>
          <w:p w14:paraId="342BF9B6" w14:textId="77777777" w:rsidR="005E3092" w:rsidRDefault="005E3092" w:rsidP="00E6227A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《江苏省氢燃料电池汽车产业发展行动规划》</w:t>
            </w:r>
          </w:p>
        </w:tc>
        <w:tc>
          <w:tcPr>
            <w:tcW w:w="2046" w:type="dxa"/>
            <w:vAlign w:val="center"/>
          </w:tcPr>
          <w:p w14:paraId="161797E2" w14:textId="77777777" w:rsidR="005E3092" w:rsidRDefault="005E3092" w:rsidP="00E6227A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省工信厅、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省发改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委、省科技厅</w:t>
            </w:r>
          </w:p>
        </w:tc>
      </w:tr>
    </w:tbl>
    <w:p w14:paraId="4FD683F9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楷体_GBK" w:hAnsi="Times New Roman" w:cs="Times New Roman"/>
          <w:bCs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1.2</w:t>
      </w: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产业链环节要素加快集聚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（二级标题）</w:t>
      </w:r>
    </w:p>
    <w:p w14:paraId="7391C44A" w14:textId="77777777" w:rsidR="005E3092" w:rsidRDefault="005E3092" w:rsidP="005E3092">
      <w:pPr>
        <w:adjustRightInd w:val="0"/>
        <w:snapToGrid w:val="0"/>
        <w:spacing w:line="380" w:lineRule="exact"/>
        <w:ind w:firstLine="480"/>
        <w:rPr>
          <w:rFonts w:ascii="Times New Roman" w:eastAsia="方正楷体_GBK" w:hAnsi="Times New Roman" w:cs="Times New Roman"/>
          <w:bCs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某省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氢能产业链条覆盖面较全，集聚氢能及燃料电池相关企业近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300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家，包含氢气生产、制氢装备、储运及加注装备、整车制造及应用、燃料电池及核心零部件、加氢站建设运营、研发及检测服务等，产业</w:t>
      </w:r>
      <w:proofErr w:type="gramStart"/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链关键</w:t>
      </w:r>
      <w:proofErr w:type="gramEnd"/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环节均拥有一批知名企业及优势骨干企业。</w:t>
      </w:r>
    </w:p>
    <w:p w14:paraId="3A244D1C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楷体_GBK" w:hAnsi="Times New Roman" w:cs="Times New Roman"/>
          <w:bCs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2</w:t>
      </w: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某省氢能产业发展存在的问题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（一级标题）</w:t>
      </w:r>
    </w:p>
    <w:p w14:paraId="1DAEF953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楷体_GBK" w:hAnsi="Times New Roman" w:cs="Times New Roman"/>
          <w:bCs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某</w:t>
      </w:r>
      <w:r>
        <w:rPr>
          <w:rFonts w:ascii="Times New Roman" w:eastAsia="方正仿宋_GBK" w:hAnsi="Times New Roman" w:cs="Times New Roman"/>
          <w:sz w:val="24"/>
          <w:szCs w:val="24"/>
        </w:rPr>
        <w:t>氢能发展主要以各地市及企业推动为主，相较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于</w:t>
      </w:r>
      <w:r>
        <w:rPr>
          <w:rFonts w:ascii="Times New Roman" w:eastAsia="方正仿宋_GBK" w:hAnsi="Times New Roman" w:cs="Times New Roman"/>
          <w:sz w:val="24"/>
          <w:szCs w:val="24"/>
        </w:rPr>
        <w:t>广东、山东、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内蒙古</w:t>
      </w:r>
      <w:r>
        <w:rPr>
          <w:rFonts w:ascii="Times New Roman" w:eastAsia="方正仿宋_GBK" w:hAnsi="Times New Roman" w:cs="Times New Roman"/>
          <w:sz w:val="24"/>
          <w:szCs w:val="24"/>
        </w:rPr>
        <w:t>、北京、上海等地强劲发展态势，仍面临顶层规划设计缺失、支持政策举措不完善、本地研发创新不足、示范应用场景较少、区域协同待加强等问题，导致产业发展动力不足。</w:t>
      </w:r>
    </w:p>
    <w:p w14:paraId="5C9FA9EF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sz w:val="24"/>
        </w:rPr>
        <w:t>2.1</w:t>
      </w:r>
      <w:r>
        <w:rPr>
          <w:rFonts w:ascii="Times New Roman" w:eastAsia="方正楷体_GBK" w:hAnsi="Times New Roman" w:cs="Times New Roman"/>
          <w:bCs/>
          <w:sz w:val="24"/>
          <w:szCs w:val="24"/>
        </w:rPr>
        <w:t>顶层设计滞后，支持政策举措不完善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（二级标题）</w:t>
      </w:r>
    </w:p>
    <w:p w14:paraId="74472C48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根据氢能联盟统计，某省已发布氢能相关</w:t>
      </w:r>
      <w:proofErr w:type="gramStart"/>
      <w:r>
        <w:rPr>
          <w:rFonts w:ascii="Times New Roman" w:eastAsia="方正仿宋_GBK" w:hAnsi="Times New Roman" w:cs="Times New Roman" w:hint="eastAsia"/>
          <w:sz w:val="24"/>
          <w:szCs w:val="24"/>
        </w:rPr>
        <w:t>政策超</w:t>
      </w:r>
      <w:proofErr w:type="gramEnd"/>
      <w:r>
        <w:rPr>
          <w:rFonts w:ascii="Times New Roman" w:eastAsia="方正仿宋_GBK" w:hAnsi="Times New Roman" w:cs="Times New Roman" w:hint="eastAsia"/>
          <w:sz w:val="24"/>
          <w:szCs w:val="24"/>
        </w:rPr>
        <w:t>50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项，远超江苏政策数量。</w:t>
      </w:r>
      <w:r>
        <w:rPr>
          <w:rFonts w:ascii="Times New Roman" w:eastAsia="方正仿宋_GBK" w:hAnsi="Times New Roman" w:cs="Times New Roman"/>
          <w:sz w:val="24"/>
          <w:szCs w:val="24"/>
        </w:rPr>
        <w:t>同时，氢能产业管理制度及标准规范有待完善，对氢能全链条安全管理、加氢站建设运营管理以及企业和项目建设等缺少有效指导。</w:t>
      </w:r>
    </w:p>
    <w:p w14:paraId="697ACD06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2.2</w:t>
      </w:r>
      <w:r>
        <w:rPr>
          <w:rFonts w:ascii="Times New Roman" w:eastAsia="方正楷体_GBK" w:hAnsi="Times New Roman" w:cs="Times New Roman"/>
          <w:bCs/>
          <w:sz w:val="24"/>
          <w:szCs w:val="24"/>
        </w:rPr>
        <w:t>本土创新不强，关键环节仍存在短板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（二级标题）</w:t>
      </w:r>
    </w:p>
    <w:p w14:paraId="27185D96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受限于市场驱动不足、技术壁垒较高、地方保护等因素，目前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某</w:t>
      </w:r>
      <w:r>
        <w:rPr>
          <w:rFonts w:ascii="Times New Roman" w:eastAsia="方正仿宋_GBK" w:hAnsi="Times New Roman" w:cs="Times New Roman"/>
          <w:sz w:val="24"/>
          <w:szCs w:val="24"/>
        </w:rPr>
        <w:t>省氢能企业真正实现规模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化</w:t>
      </w:r>
      <w:r>
        <w:rPr>
          <w:rFonts w:ascii="Times New Roman" w:eastAsia="方正仿宋_GBK" w:hAnsi="Times New Roman" w:cs="Times New Roman"/>
          <w:sz w:val="24"/>
          <w:szCs w:val="24"/>
        </w:rPr>
        <w:t>生产的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数量</w:t>
      </w:r>
      <w:r>
        <w:rPr>
          <w:rFonts w:ascii="Times New Roman" w:eastAsia="方正仿宋_GBK" w:hAnsi="Times New Roman" w:cs="Times New Roman"/>
          <w:sz w:val="24"/>
          <w:szCs w:val="24"/>
        </w:rPr>
        <w:t>较少，多数企业基于原有产品向氢能产品拓展，项目处于规划建设及研发阶段，尚不具备产出及规模供应能力。</w:t>
      </w:r>
    </w:p>
    <w:p w14:paraId="6CCB0760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3.</w:t>
      </w: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某</w:t>
      </w:r>
      <w:r>
        <w:rPr>
          <w:rFonts w:ascii="Times New Roman" w:eastAsia="方正楷体_GBK" w:hAnsi="Times New Roman" w:cs="Times New Roman"/>
          <w:bCs/>
          <w:sz w:val="24"/>
          <w:szCs w:val="24"/>
        </w:rPr>
        <w:t>省氢能产业发展对策建议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（一级标题）</w:t>
      </w:r>
    </w:p>
    <w:p w14:paraId="43E6DD71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依托加快制造强省建设和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“1650”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产业体系构建，加强全省氢能产业发展统筹布局，完善产业管理政策和制度，以示范应用推广为牵引，重点支持关键技术研发和产业化，提升装备制造及服务水平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。</w:t>
      </w:r>
    </w:p>
    <w:p w14:paraId="0ACA23BA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楷体_GBK" w:hAnsi="Times New Roman" w:cs="Times New Roman"/>
          <w:bCs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3.1</w:t>
      </w:r>
      <w:r>
        <w:rPr>
          <w:rFonts w:ascii="Times New Roman" w:eastAsia="方正楷体_GBK" w:hAnsi="Times New Roman" w:cs="Times New Roman"/>
          <w:bCs/>
          <w:sz w:val="24"/>
          <w:szCs w:val="24"/>
        </w:rPr>
        <w:t>加强统筹协调，完善产业顶层设计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（二级标题）</w:t>
      </w:r>
    </w:p>
    <w:p w14:paraId="07C94AB9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lastRenderedPageBreak/>
        <w:t>成立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某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省氢能产业发展工作专班，由省领导牵头，工信、发改、科技、财政、交通、应急、住建等部门参与，定期研究解决产业发展中的重大问题，统筹协调全省氢能产业布局，制定并完善配套政策。</w:t>
      </w:r>
    </w:p>
    <w:p w14:paraId="50445EDE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楷体_GBK" w:hAnsi="Times New Roman" w:cs="Times New Roman"/>
          <w:bCs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3.2 </w:t>
      </w:r>
      <w:r>
        <w:rPr>
          <w:rFonts w:ascii="Times New Roman" w:eastAsia="方正楷体_GBK" w:hAnsi="Times New Roman" w:cs="Times New Roman"/>
          <w:bCs/>
          <w:sz w:val="24"/>
          <w:szCs w:val="24"/>
        </w:rPr>
        <w:t>加大产业扶持，完善政策支撑体系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（二级标题）</w:t>
      </w:r>
    </w:p>
    <w:p w14:paraId="69F8454F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统筹全省氢能相关财政专项资金，重点对核心技术攻关、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关键零部件及装备研发产业化、车辆示范推广、加氢站建设运营</w:t>
      </w:r>
      <w:r>
        <w:rPr>
          <w:rFonts w:ascii="Times New Roman" w:eastAsia="方正仿宋_GBK" w:hAnsi="Times New Roman" w:cs="Times New Roman"/>
          <w:sz w:val="24"/>
          <w:szCs w:val="24"/>
        </w:rPr>
        <w:t>等给予财政和税收支持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</w:p>
    <w:p w14:paraId="7487DFA8" w14:textId="77777777" w:rsidR="005E3092" w:rsidRDefault="005E3092" w:rsidP="005E3092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Times New Roman" w:eastAsia="方正楷体_GBK" w:hAnsi="Times New Roman" w:cs="Times New Roman"/>
          <w:bCs/>
          <w:sz w:val="24"/>
          <w:szCs w:val="24"/>
        </w:rPr>
      </w:pP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结语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（一级标题）</w:t>
      </w:r>
    </w:p>
    <w:p w14:paraId="1B9C28D1" w14:textId="77777777" w:rsidR="005E3092" w:rsidRDefault="005E3092" w:rsidP="005E3092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随着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双碳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目标加速落地和新型能源体系加快建设，氢能已成为加快能源转型升级、保障能源安全、助推绿色低碳发展、培育经济新增长点的重要战略选择。欧盟、美国、日本、韩国等全球主要国家或区域陆续发布相关规划及政策，明确氢能战略定位，推进氢能商业化发展。</w:t>
      </w:r>
    </w:p>
    <w:p w14:paraId="50D6AC45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sz w:val="24"/>
          <w:highlight w:val="yellow"/>
        </w:rPr>
        <w:t>（标题一律用阿拉伯数字连续编号，尽量减少层次，一般不超过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3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级，如“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3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”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 xml:space="preserve"> 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“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3.</w:t>
      </w:r>
      <w:r>
        <w:rPr>
          <w:rFonts w:ascii="Times New Roman" w:eastAsia="方正仿宋_GBK" w:hAnsi="Times New Roman" w:cs="黑体"/>
          <w:sz w:val="24"/>
          <w:highlight w:val="yellow"/>
        </w:rPr>
        <w:t>1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”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 xml:space="preserve"> 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“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3.</w:t>
      </w:r>
      <w:r>
        <w:rPr>
          <w:rFonts w:ascii="Times New Roman" w:eastAsia="方正仿宋_GBK" w:hAnsi="Times New Roman" w:cs="黑体"/>
          <w:sz w:val="24"/>
          <w:highlight w:val="yellow"/>
        </w:rPr>
        <w:t>1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.</w:t>
      </w:r>
      <w:r>
        <w:rPr>
          <w:rFonts w:ascii="Times New Roman" w:eastAsia="方正仿宋_GBK" w:hAnsi="Times New Roman" w:cs="黑体"/>
          <w:sz w:val="24"/>
          <w:highlight w:val="yellow"/>
        </w:rPr>
        <w:t>1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”等，不要跳跃或重复，引言以“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0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”标注，以“结语”为段结束）</w:t>
      </w:r>
    </w:p>
    <w:p w14:paraId="569BC4CE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楷体_GBK" w:hAnsi="Times New Roman" w:cs="Times New Roman"/>
          <w:bCs/>
          <w:sz w:val="24"/>
          <w:szCs w:val="24"/>
        </w:rPr>
      </w:pP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参考文献</w:t>
      </w:r>
    </w:p>
    <w:p w14:paraId="30DA08B3" w14:textId="77777777" w:rsidR="005E3092" w:rsidRDefault="005E3092" w:rsidP="005E3092">
      <w:pPr>
        <w:numPr>
          <w:ilvl w:val="0"/>
          <w:numId w:val="2"/>
        </w:numPr>
        <w:adjustRightInd w:val="0"/>
        <w:snapToGrid w:val="0"/>
        <w:spacing w:line="38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李勃昕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马叶叶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任赟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等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氢能汽车的产业化场景开拓与培育策略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[J]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.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新能源科技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, 2024(1):31-38.</w:t>
      </w:r>
    </w:p>
    <w:p w14:paraId="378C8A27" w14:textId="77777777" w:rsidR="005E3092" w:rsidRDefault="005E3092" w:rsidP="005E3092">
      <w:pPr>
        <w:numPr>
          <w:ilvl w:val="0"/>
          <w:numId w:val="2"/>
        </w:numPr>
        <w:adjustRightInd w:val="0"/>
        <w:snapToGrid w:val="0"/>
        <w:spacing w:line="38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黑体" w:hint="eastAsia"/>
          <w:sz w:val="24"/>
        </w:rPr>
        <w:t>汤雅青</w:t>
      </w:r>
      <w:r>
        <w:rPr>
          <w:rFonts w:ascii="Times New Roman" w:eastAsia="方正仿宋_GBK" w:hAnsi="Times New Roman" w:cs="黑体" w:hint="eastAsia"/>
          <w:sz w:val="24"/>
        </w:rPr>
        <w:t>.</w:t>
      </w:r>
      <w:r>
        <w:rPr>
          <w:rFonts w:ascii="Times New Roman" w:eastAsia="方正仿宋_GBK" w:hAnsi="Times New Roman" w:cs="黑体" w:hint="eastAsia"/>
          <w:sz w:val="24"/>
        </w:rPr>
        <w:t>氢能产业扶持研究</w:t>
      </w:r>
      <w:r>
        <w:rPr>
          <w:rFonts w:ascii="Times New Roman" w:eastAsia="方正仿宋_GBK" w:hAnsi="Times New Roman" w:cs="黑体" w:hint="eastAsia"/>
          <w:sz w:val="24"/>
        </w:rPr>
        <w:t>[</w:t>
      </w:r>
      <w:r>
        <w:rPr>
          <w:rFonts w:ascii="Times New Roman" w:eastAsia="方正仿宋_GBK" w:hAnsi="Times New Roman" w:cs="黑体"/>
          <w:sz w:val="24"/>
        </w:rPr>
        <w:t>D</w:t>
      </w:r>
      <w:r>
        <w:rPr>
          <w:rFonts w:ascii="Times New Roman" w:eastAsia="方正仿宋_GBK" w:hAnsi="Times New Roman" w:cs="黑体" w:hint="eastAsia"/>
          <w:sz w:val="24"/>
        </w:rPr>
        <w:t>].</w:t>
      </w:r>
      <w:r>
        <w:rPr>
          <w:rFonts w:ascii="Times New Roman" w:eastAsia="方正仿宋_GBK" w:hAnsi="Times New Roman" w:cs="黑体" w:hint="eastAsia"/>
          <w:sz w:val="24"/>
        </w:rPr>
        <w:t>上海：上海交通大学，</w:t>
      </w:r>
      <w:r>
        <w:rPr>
          <w:rFonts w:ascii="Times New Roman" w:eastAsia="方正仿宋_GBK" w:hAnsi="Times New Roman" w:cs="黑体" w:hint="eastAsia"/>
          <w:sz w:val="24"/>
        </w:rPr>
        <w:t xml:space="preserve">2011. </w:t>
      </w:r>
    </w:p>
    <w:p w14:paraId="259CCCD1" w14:textId="77777777" w:rsidR="005E3092" w:rsidRDefault="005E3092" w:rsidP="005E3092">
      <w:pPr>
        <w:numPr>
          <w:ilvl w:val="0"/>
          <w:numId w:val="2"/>
        </w:numPr>
        <w:adjustRightInd w:val="0"/>
        <w:snapToGrid w:val="0"/>
        <w:spacing w:line="38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伍梦尧</w:t>
      </w:r>
      <w:proofErr w:type="gramEnd"/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氢能产业规模化发展仍需突破瓶颈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[N]. 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中国电力报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, 2023-09-12(004).</w:t>
      </w:r>
    </w:p>
    <w:p w14:paraId="0B6A2ED1" w14:textId="77777777" w:rsidR="005E3092" w:rsidRDefault="005E3092" w:rsidP="005E3092">
      <w:pPr>
        <w:numPr>
          <w:ilvl w:val="0"/>
          <w:numId w:val="2"/>
        </w:numPr>
        <w:adjustRightInd w:val="0"/>
        <w:snapToGrid w:val="0"/>
        <w:spacing w:line="38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黑体" w:hint="eastAsia"/>
          <w:sz w:val="24"/>
        </w:rPr>
        <w:t>孙钧</w:t>
      </w:r>
      <w:r>
        <w:rPr>
          <w:rFonts w:ascii="Times New Roman" w:eastAsia="方正仿宋_GBK" w:hAnsi="Times New Roman" w:cs="黑体" w:hint="eastAsia"/>
          <w:sz w:val="24"/>
        </w:rPr>
        <w:t>.</w:t>
      </w:r>
      <w:r>
        <w:rPr>
          <w:rFonts w:ascii="Times New Roman" w:eastAsia="方正仿宋_GBK" w:hAnsi="Times New Roman" w:cs="黑体" w:hint="eastAsia"/>
          <w:sz w:val="24"/>
        </w:rPr>
        <w:t>氢能材料工程应用</w:t>
      </w:r>
      <w:r>
        <w:rPr>
          <w:rFonts w:ascii="Times New Roman" w:eastAsia="方正仿宋_GBK" w:hAnsi="Times New Roman" w:cs="黑体" w:hint="eastAsia"/>
          <w:sz w:val="24"/>
        </w:rPr>
        <w:t>[</w:t>
      </w:r>
      <w:r>
        <w:rPr>
          <w:rFonts w:ascii="Times New Roman" w:eastAsia="方正仿宋_GBK" w:hAnsi="Times New Roman" w:cs="黑体"/>
          <w:sz w:val="24"/>
        </w:rPr>
        <w:t>M</w:t>
      </w:r>
      <w:r>
        <w:rPr>
          <w:rFonts w:ascii="Times New Roman" w:eastAsia="方正仿宋_GBK" w:hAnsi="Times New Roman" w:cs="黑体" w:hint="eastAsia"/>
          <w:sz w:val="24"/>
        </w:rPr>
        <w:t>].</w:t>
      </w:r>
      <w:r>
        <w:rPr>
          <w:rFonts w:ascii="Times New Roman" w:eastAsia="方正仿宋_GBK" w:hAnsi="Times New Roman" w:cs="黑体" w:hint="eastAsia"/>
          <w:sz w:val="24"/>
        </w:rPr>
        <w:t>北京：建筑工业出版社，</w:t>
      </w:r>
      <w:r>
        <w:rPr>
          <w:rFonts w:ascii="Times New Roman" w:eastAsia="方正仿宋_GBK" w:hAnsi="Times New Roman" w:cs="黑体" w:hint="eastAsia"/>
          <w:sz w:val="24"/>
        </w:rPr>
        <w:t>1999.</w:t>
      </w:r>
    </w:p>
    <w:p w14:paraId="0392C6F2" w14:textId="77777777" w:rsidR="005E3092" w:rsidRDefault="005E3092" w:rsidP="005E3092">
      <w:pPr>
        <w:numPr>
          <w:ilvl w:val="0"/>
          <w:numId w:val="2"/>
        </w:numPr>
        <w:adjustRightInd w:val="0"/>
        <w:snapToGrid w:val="0"/>
        <w:spacing w:line="38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黑体" w:hint="eastAsia"/>
          <w:sz w:val="24"/>
        </w:rPr>
        <w:t>中华人民共和国建设部，南京水利科学研究院</w:t>
      </w:r>
      <w:r>
        <w:rPr>
          <w:rFonts w:ascii="Times New Roman" w:eastAsia="方正仿宋_GBK" w:hAnsi="Times New Roman" w:cs="黑体" w:hint="eastAsia"/>
          <w:sz w:val="24"/>
        </w:rPr>
        <w:t>.</w:t>
      </w:r>
      <w:r>
        <w:rPr>
          <w:rFonts w:ascii="Times New Roman" w:eastAsia="方正仿宋_GBK" w:hAnsi="Times New Roman" w:cs="黑体" w:hint="eastAsia"/>
          <w:sz w:val="24"/>
        </w:rPr>
        <w:t>土工试验方法标准：</w:t>
      </w:r>
      <w:r>
        <w:rPr>
          <w:rFonts w:ascii="Times New Roman" w:eastAsia="方正仿宋_GBK" w:hAnsi="Times New Roman" w:cs="黑体" w:hint="eastAsia"/>
          <w:sz w:val="24"/>
        </w:rPr>
        <w:t>GB/T 50123-1999 [S].</w:t>
      </w:r>
      <w:r>
        <w:rPr>
          <w:rFonts w:ascii="Times New Roman" w:eastAsia="方正仿宋_GBK" w:hAnsi="Times New Roman" w:cs="黑体" w:hint="eastAsia"/>
          <w:sz w:val="24"/>
        </w:rPr>
        <w:t>北京：中国计划出版社，</w:t>
      </w:r>
      <w:r>
        <w:rPr>
          <w:rFonts w:ascii="Times New Roman" w:eastAsia="方正仿宋_GBK" w:hAnsi="Times New Roman" w:cs="黑体" w:hint="eastAsia"/>
          <w:sz w:val="24"/>
        </w:rPr>
        <w:t>1999.</w:t>
      </w:r>
    </w:p>
    <w:p w14:paraId="30E6DC2D" w14:textId="77777777" w:rsidR="005E3092" w:rsidRDefault="005E3092" w:rsidP="005E3092">
      <w:pPr>
        <w:numPr>
          <w:ilvl w:val="0"/>
          <w:numId w:val="2"/>
        </w:numPr>
        <w:adjustRightInd w:val="0"/>
        <w:snapToGrid w:val="0"/>
        <w:spacing w:line="380" w:lineRule="exac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 xml:space="preserve">JAMAL A M </w:t>
      </w:r>
      <w:proofErr w:type="spellStart"/>
      <w:r>
        <w:rPr>
          <w:rFonts w:ascii="方正仿宋_GBK" w:eastAsia="方正仿宋_GBK" w:hAnsi="方正仿宋_GBK" w:cs="方正仿宋_GBK" w:hint="eastAsia"/>
          <w:sz w:val="24"/>
        </w:rPr>
        <w:t>M</w:t>
      </w:r>
      <w:proofErr w:type="spellEnd"/>
      <w:r>
        <w:rPr>
          <w:rFonts w:ascii="方正仿宋_GBK" w:eastAsia="方正仿宋_GBK" w:hAnsi="方正仿宋_GBK" w:cs="方正仿宋_GBK" w:hint="eastAsia"/>
          <w:sz w:val="24"/>
        </w:rPr>
        <w:t xml:space="preserve">，BHABA R S，WANG S J. Optimal payment time for a retailer under permitted delay of Payment by the wholesaler[J].International Journal of Production Economics，2000（66）：59-66. </w:t>
      </w:r>
    </w:p>
    <w:p w14:paraId="23996EE9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sz w:val="24"/>
          <w:highlight w:val="yellow"/>
        </w:rPr>
        <w:t>（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1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）参考文献格式请按照《信息与文献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 xml:space="preserve"> 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参考文献著录规则（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GB/T 7714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—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2015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）》著录，每篇文章参考文献不少于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10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条。</w:t>
      </w:r>
    </w:p>
    <w:p w14:paraId="50409BD6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sz w:val="24"/>
          <w:highlight w:val="yellow"/>
        </w:rPr>
        <w:t>（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2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）所有参考文献请核对作者（外文文献的作者按照姓前名后，姓全称，名缩写，均大写），题名，文献类型标识码（专著为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M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，期刊为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J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，报纸为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N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，论文集为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C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，学位论文为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D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），刊名，年，期号以及起至页码。</w:t>
      </w:r>
    </w:p>
    <w:p w14:paraId="59A74D9D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sz w:val="24"/>
          <w:highlight w:val="yellow"/>
        </w:rPr>
        <w:t>（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3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）所有参考文献信息应该完整著录。</w:t>
      </w:r>
    </w:p>
    <w:p w14:paraId="025956F5" w14:textId="77777777" w:rsidR="005E3092" w:rsidRDefault="005E3092" w:rsidP="005E3092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sz w:val="24"/>
          <w:highlight w:val="yellow"/>
        </w:rPr>
        <w:t>（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4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）所有文献应采用顺序编码制，在正文中标明引用位置，并按引用的先后顺序列于文末。</w:t>
      </w:r>
    </w:p>
    <w:p w14:paraId="73CE79FE" w14:textId="77777777" w:rsidR="005E3092" w:rsidRPr="005E3092" w:rsidRDefault="005E3092"/>
    <w:sectPr w:rsidR="005E3092" w:rsidRPr="005E3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E00079"/>
    <w:multiLevelType w:val="singleLevel"/>
    <w:tmpl w:val="B4E00079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C7BE55D6"/>
    <w:multiLevelType w:val="singleLevel"/>
    <w:tmpl w:val="C7BE55D6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 w16cid:durableId="1026128977">
    <w:abstractNumId w:val="0"/>
  </w:num>
  <w:num w:numId="2" w16cid:durableId="568423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92"/>
    <w:rsid w:val="005E3092"/>
    <w:rsid w:val="00B4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5E30"/>
  <w15:chartTrackingRefBased/>
  <w15:docId w15:val="{B7896701-36CB-4064-BA17-BFC558B0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9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E3092"/>
    <w:rPr>
      <w:rFonts w:ascii="Calibri Light" w:eastAsia="黑体" w:hAnsi="Calibri Light" w:cs="Times New Roman"/>
      <w:sz w:val="20"/>
      <w:szCs w:val="20"/>
    </w:rPr>
  </w:style>
  <w:style w:type="table" w:styleId="a4">
    <w:name w:val="Table Grid"/>
    <w:basedOn w:val="a1"/>
    <w:uiPriority w:val="39"/>
    <w:qFormat/>
    <w:rsid w:val="005E30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宜轩 吴</dc:creator>
  <cp:keywords/>
  <dc:description/>
  <cp:lastModifiedBy>宜轩 吴</cp:lastModifiedBy>
  <cp:revision>1</cp:revision>
  <dcterms:created xsi:type="dcterms:W3CDTF">2024-09-03T10:54:00Z</dcterms:created>
  <dcterms:modified xsi:type="dcterms:W3CDTF">2024-09-03T10:55:00Z</dcterms:modified>
</cp:coreProperties>
</file>